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1E4921EA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C603B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May </w:t>
      </w:r>
      <w:r w:rsidR="00075DB9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20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41D92FF5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075DB9">
        <w:rPr>
          <w:rFonts w:ascii="Source Sans Pro" w:eastAsia="Times New Roman" w:hAnsi="Source Sans Pro" w:cs="Calibri"/>
          <w:color w:val="0C0C0C"/>
          <w:sz w:val="24"/>
          <w:szCs w:val="24"/>
        </w:rPr>
        <w:t>Angles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27F8F361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075DB9">
        <w:rPr>
          <w:rFonts w:ascii="Source Sans Pro" w:eastAsia="Times New Roman" w:hAnsi="Source Sans Pro" w:cs="Calibri"/>
          <w:color w:val="0C0C0C"/>
          <w:sz w:val="24"/>
          <w:szCs w:val="24"/>
        </w:rPr>
        <w:t>name angles.</w:t>
      </w:r>
    </w:p>
    <w:p w14:paraId="0E6DE07A" w14:textId="3A0C0B57" w:rsidR="00D545FE" w:rsidRDefault="00D545FE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075DB9">
        <w:rPr>
          <w:rFonts w:ascii="Source Sans Pro" w:eastAsia="Times New Roman" w:hAnsi="Source Sans Pro" w:cs="Calibri"/>
          <w:color w:val="0C0C0C"/>
          <w:sz w:val="24"/>
          <w:szCs w:val="24"/>
        </w:rPr>
        <w:t>a protractor to measure angles.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1F03D275" w:rsidR="00841329" w:rsidRPr="00841329" w:rsidRDefault="006F7400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6F7400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7A337BBA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F65DF9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47C64D65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2905A3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-4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905A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naming angles”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1312735C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0D754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measuring angles”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6F007DB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</w:t>
            </w:r>
            <w:r w:rsidR="000D754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527DDA2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14E25A58" w:rsidR="00D05815" w:rsidRDefault="006F7400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4AB09E70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CED16E6" w14:textId="77777777" w:rsidR="006F7400" w:rsidRPr="00B252D5" w:rsidRDefault="006F7400" w:rsidP="006F74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4E944940" w14:textId="77777777" w:rsidR="006F7400" w:rsidRPr="00B252D5" w:rsidRDefault="006F7400" w:rsidP="006F7400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29CAF1F8" w14:textId="77777777" w:rsidR="006F7400" w:rsidRPr="00B252D5" w:rsidRDefault="006F7400" w:rsidP="006F74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9B18923" w14:textId="77777777" w:rsidR="006F7400" w:rsidRPr="000C6F8A" w:rsidRDefault="006F7400" w:rsidP="006F740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74BAF890" w14:textId="77777777" w:rsidR="006F7400" w:rsidRPr="000C6F8A" w:rsidRDefault="006F7400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6F7400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75DB9"/>
    <w:rsid w:val="000B2B3E"/>
    <w:rsid w:val="000C6F8A"/>
    <w:rsid w:val="000D3460"/>
    <w:rsid w:val="000D754A"/>
    <w:rsid w:val="000F01AC"/>
    <w:rsid w:val="00167B38"/>
    <w:rsid w:val="0018596F"/>
    <w:rsid w:val="00193CFC"/>
    <w:rsid w:val="001A7A8B"/>
    <w:rsid w:val="001B6809"/>
    <w:rsid w:val="001E4F86"/>
    <w:rsid w:val="001F7F64"/>
    <w:rsid w:val="002161AA"/>
    <w:rsid w:val="00263932"/>
    <w:rsid w:val="00275DED"/>
    <w:rsid w:val="00282B3B"/>
    <w:rsid w:val="002905A3"/>
    <w:rsid w:val="002A7609"/>
    <w:rsid w:val="002C524A"/>
    <w:rsid w:val="002F0DCB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6E"/>
    <w:rsid w:val="00655EDF"/>
    <w:rsid w:val="00656448"/>
    <w:rsid w:val="006570D3"/>
    <w:rsid w:val="00660103"/>
    <w:rsid w:val="00662041"/>
    <w:rsid w:val="006865DB"/>
    <w:rsid w:val="006C406F"/>
    <w:rsid w:val="006C6AF1"/>
    <w:rsid w:val="006E35D7"/>
    <w:rsid w:val="006F7400"/>
    <w:rsid w:val="006F7AFE"/>
    <w:rsid w:val="00717ADB"/>
    <w:rsid w:val="00720C02"/>
    <w:rsid w:val="00743F51"/>
    <w:rsid w:val="00760D03"/>
    <w:rsid w:val="007715F4"/>
    <w:rsid w:val="007A76C6"/>
    <w:rsid w:val="007B4C28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B62CD"/>
    <w:rsid w:val="008E1F3A"/>
    <w:rsid w:val="008E4126"/>
    <w:rsid w:val="00901366"/>
    <w:rsid w:val="009357B8"/>
    <w:rsid w:val="009663E0"/>
    <w:rsid w:val="00966876"/>
    <w:rsid w:val="009676FC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E1F71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B3669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5989"/>
    <w:rsid w:val="00CF3F0E"/>
    <w:rsid w:val="00D05815"/>
    <w:rsid w:val="00D43DEF"/>
    <w:rsid w:val="00D545FE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54C56"/>
    <w:rsid w:val="00E609C2"/>
    <w:rsid w:val="00E71E87"/>
    <w:rsid w:val="00E74CA8"/>
    <w:rsid w:val="00E9436B"/>
    <w:rsid w:val="00E97D4D"/>
    <w:rsid w:val="00EA6F29"/>
    <w:rsid w:val="00EB4D34"/>
    <w:rsid w:val="00ED1D64"/>
    <w:rsid w:val="00EE012F"/>
    <w:rsid w:val="00EF1F67"/>
    <w:rsid w:val="00F177F8"/>
    <w:rsid w:val="00F32C50"/>
    <w:rsid w:val="00F428EB"/>
    <w:rsid w:val="00F65DF9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F7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56507-B250-49BA-B77D-2A90CC773C69}">
  <ds:schemaRefs>
    <ds:schemaRef ds:uri="350c59b8-ef47-499b-854d-053920ee1b74"/>
    <ds:schemaRef ds:uri="4795ba03-b8fd-4cfa-91e2-7f74fada24e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F4E000-0DE0-4EF7-8120-155024F2C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2020-05-20T01:17:00Z</dcterms:created>
  <dcterms:modified xsi:type="dcterms:W3CDTF">2020-05-20T01:17:00Z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